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9805" w14:textId="77777777" w:rsidR="00245A05" w:rsidRPr="00245A05" w:rsidRDefault="00245A05" w:rsidP="00245A05">
      <w:pPr>
        <w:rPr>
          <w:b/>
          <w:bCs/>
        </w:rPr>
      </w:pPr>
      <w:r w:rsidRPr="00245A05">
        <w:rPr>
          <w:b/>
          <w:bCs/>
        </w:rPr>
        <w:t>PARECER DA COMISSÃO DE JUSTIÇA E REDAÇÃO</w:t>
      </w:r>
    </w:p>
    <w:p w14:paraId="5318ABAA" w14:textId="77777777" w:rsidR="00245A05" w:rsidRPr="00245A05" w:rsidRDefault="00245A05" w:rsidP="00245A05">
      <w:r w:rsidRPr="00245A05">
        <w:rPr>
          <w:b/>
          <w:bCs/>
        </w:rPr>
        <w:t xml:space="preserve">Parecer nº </w:t>
      </w:r>
      <w:r>
        <w:rPr>
          <w:b/>
          <w:bCs/>
        </w:rPr>
        <w:t>116</w:t>
      </w:r>
      <w:r w:rsidRPr="00245A05">
        <w:rPr>
          <w:b/>
          <w:bCs/>
        </w:rPr>
        <w:t>/2025</w:t>
      </w:r>
      <w:r w:rsidRPr="00245A05">
        <w:br/>
      </w:r>
      <w:r w:rsidRPr="00245A05">
        <w:rPr>
          <w:b/>
          <w:bCs/>
        </w:rPr>
        <w:t>Projeto de Lei nº 99/2025</w:t>
      </w:r>
    </w:p>
    <w:p w14:paraId="747E8D45" w14:textId="77777777" w:rsidR="00245A05" w:rsidRPr="00245A05" w:rsidRDefault="00245A05" w:rsidP="00245A05">
      <w:pPr>
        <w:rPr>
          <w:b/>
          <w:bCs/>
        </w:rPr>
      </w:pPr>
      <w:r w:rsidRPr="00245A05">
        <w:rPr>
          <w:b/>
          <w:bCs/>
        </w:rPr>
        <w:t>Ementa</w:t>
      </w:r>
    </w:p>
    <w:p w14:paraId="35FE7B37" w14:textId="77777777" w:rsidR="00245A05" w:rsidRPr="00245A05" w:rsidRDefault="00245A05" w:rsidP="00245A05">
      <w:pPr>
        <w:ind w:left="2124"/>
        <w:jc w:val="both"/>
      </w:pPr>
      <w:r w:rsidRPr="00245A05">
        <w:t xml:space="preserve">Parecer </w:t>
      </w:r>
      <w:r w:rsidRPr="00245A05">
        <w:rPr>
          <w:b/>
          <w:bCs/>
        </w:rPr>
        <w:t>favorável</w:t>
      </w:r>
      <w:r w:rsidRPr="00245A05">
        <w:t xml:space="preserve"> quanto à </w:t>
      </w:r>
      <w:r w:rsidRPr="00245A05">
        <w:rPr>
          <w:b/>
          <w:bCs/>
        </w:rPr>
        <w:t>constitucionalidade, legalidade e técnica legislativa</w:t>
      </w:r>
      <w:r w:rsidRPr="00245A05">
        <w:t xml:space="preserve"> do Projeto de Lei nº 99/2025, que </w:t>
      </w:r>
      <w:r w:rsidRPr="00245A05">
        <w:rPr>
          <w:b/>
          <w:bCs/>
        </w:rPr>
        <w:t>homologa a desapropriação amigável</w:t>
      </w:r>
      <w:r w:rsidRPr="00245A05">
        <w:t xml:space="preserve"> de imóvel urbano declarado de utilidade pública para </w:t>
      </w:r>
      <w:r w:rsidRPr="00245A05">
        <w:rPr>
          <w:b/>
          <w:bCs/>
        </w:rPr>
        <w:t>instalação definitiva e permanente da Casa Lar – Abrigo Institucional</w:t>
      </w:r>
      <w:r w:rsidRPr="00245A05">
        <w:t xml:space="preserve">, autoriza o pagamento da </w:t>
      </w:r>
      <w:r w:rsidRPr="00245A05">
        <w:rPr>
          <w:b/>
          <w:bCs/>
        </w:rPr>
        <w:t>indenização de R$ 1.000.000,00</w:t>
      </w:r>
      <w:r w:rsidRPr="00245A05">
        <w:t xml:space="preserve"> e prevê, na hipótese de insucesso na via administrativa, o ajuizamento de ação expropriatória com fundamento no art. 15 do Decreto-Lei nº 3.365/1941. </w:t>
      </w:r>
    </w:p>
    <w:p w14:paraId="7EC9BD3A" w14:textId="77777777" w:rsidR="00245A05" w:rsidRPr="00245A05" w:rsidRDefault="00245A05" w:rsidP="00245A05">
      <w:pPr>
        <w:rPr>
          <w:b/>
          <w:bCs/>
        </w:rPr>
      </w:pPr>
      <w:r w:rsidRPr="00245A05">
        <w:rPr>
          <w:b/>
          <w:bCs/>
        </w:rPr>
        <w:t>Relatório</w:t>
      </w:r>
    </w:p>
    <w:p w14:paraId="1C6D4884" w14:textId="77777777" w:rsidR="00245A05" w:rsidRPr="00245A05" w:rsidRDefault="00245A05" w:rsidP="00245A05">
      <w:pPr>
        <w:jc w:val="both"/>
      </w:pPr>
      <w:r w:rsidRPr="00245A05">
        <w:t xml:space="preserve">O Projeto de Lei nº 99/2025, de iniciativa do Poder Executivo, </w:t>
      </w:r>
      <w:r w:rsidRPr="00245A05">
        <w:rPr>
          <w:b/>
          <w:bCs/>
        </w:rPr>
        <w:t>homologa</w:t>
      </w:r>
      <w:r w:rsidRPr="00245A05">
        <w:t xml:space="preserve"> a desapropriação do </w:t>
      </w:r>
      <w:r w:rsidRPr="00245A05">
        <w:rPr>
          <w:b/>
          <w:bCs/>
        </w:rPr>
        <w:t>Lote nº 08, Quadra nº 30</w:t>
      </w:r>
      <w:r w:rsidRPr="00245A05">
        <w:t xml:space="preserve">, situado à </w:t>
      </w:r>
      <w:r w:rsidRPr="00245A05">
        <w:rPr>
          <w:b/>
          <w:bCs/>
        </w:rPr>
        <w:t>Rua Duque de Caxias, nº 1409</w:t>
      </w:r>
      <w:r w:rsidRPr="00245A05">
        <w:t xml:space="preserve">, área total de </w:t>
      </w:r>
      <w:r w:rsidRPr="00245A05">
        <w:rPr>
          <w:b/>
          <w:bCs/>
        </w:rPr>
        <w:t>900,00 m²</w:t>
      </w:r>
      <w:r w:rsidRPr="00245A05">
        <w:t xml:space="preserve">, com edificação de </w:t>
      </w:r>
      <w:r w:rsidRPr="00245A05">
        <w:rPr>
          <w:b/>
          <w:bCs/>
        </w:rPr>
        <w:t>260,00 m²</w:t>
      </w:r>
      <w:r w:rsidRPr="00245A05">
        <w:t xml:space="preserve"> e demais benfeitorias, registrado sob a </w:t>
      </w:r>
      <w:r w:rsidRPr="00245A05">
        <w:rPr>
          <w:b/>
          <w:bCs/>
        </w:rPr>
        <w:t>Matrícula nº 6.134</w:t>
      </w:r>
      <w:r w:rsidRPr="00245A05">
        <w:t xml:space="preserve">. O imóvel pertence à </w:t>
      </w:r>
      <w:r w:rsidRPr="00245A05">
        <w:rPr>
          <w:b/>
          <w:bCs/>
        </w:rPr>
        <w:t>SF Reflorestamento Agropecuária Ltda.</w:t>
      </w:r>
      <w:r w:rsidRPr="00245A05">
        <w:t xml:space="preserve"> O valor da </w:t>
      </w:r>
      <w:r w:rsidRPr="00245A05">
        <w:rPr>
          <w:b/>
          <w:bCs/>
        </w:rPr>
        <w:t>justa e prévia indenização</w:t>
      </w:r>
      <w:r w:rsidRPr="00245A05">
        <w:t xml:space="preserve"> foi fixado em </w:t>
      </w:r>
      <w:r w:rsidRPr="00245A05">
        <w:rPr>
          <w:b/>
          <w:bCs/>
        </w:rPr>
        <w:t>R$ 1.000.000,00</w:t>
      </w:r>
      <w:r w:rsidRPr="00245A05">
        <w:t xml:space="preserve">, sendo </w:t>
      </w:r>
      <w:r w:rsidRPr="00245A05">
        <w:rPr>
          <w:b/>
          <w:bCs/>
        </w:rPr>
        <w:t>R$ 300.000,00 (terreno)</w:t>
      </w:r>
      <w:r w:rsidRPr="00245A05">
        <w:t xml:space="preserve"> e </w:t>
      </w:r>
      <w:r w:rsidRPr="00245A05">
        <w:rPr>
          <w:b/>
          <w:bCs/>
        </w:rPr>
        <w:t>R$ 700.000,00 (edificações/benfeitorias)</w:t>
      </w:r>
      <w:r w:rsidRPr="00245A05">
        <w:t xml:space="preserve">, conforme </w:t>
      </w:r>
      <w:r w:rsidRPr="00245A05">
        <w:rPr>
          <w:b/>
          <w:bCs/>
        </w:rPr>
        <w:t>Laudo de Avaliação</w:t>
      </w:r>
      <w:r w:rsidRPr="00245A05">
        <w:t xml:space="preserve">. As despesas correrão por </w:t>
      </w:r>
      <w:r w:rsidRPr="00245A05">
        <w:rPr>
          <w:b/>
          <w:bCs/>
        </w:rPr>
        <w:t>dotação orçamentária própria</w:t>
      </w:r>
      <w:r w:rsidRPr="00245A05">
        <w:t xml:space="preserve">, suplementável se necessário. Em caso de não concretização do acordo, o Executivo fica autorizado a adotar as </w:t>
      </w:r>
      <w:r w:rsidRPr="00245A05">
        <w:rPr>
          <w:b/>
          <w:bCs/>
        </w:rPr>
        <w:t>medidas judiciais cabíveis</w:t>
      </w:r>
      <w:r w:rsidRPr="00245A05">
        <w:t xml:space="preserve">, inclusive com </w:t>
      </w:r>
      <w:r w:rsidRPr="00245A05">
        <w:rPr>
          <w:b/>
          <w:bCs/>
        </w:rPr>
        <w:t>urgência (art. 15 do DL 3.365/1941)</w:t>
      </w:r>
      <w:r w:rsidRPr="00245A05">
        <w:t xml:space="preserve">. </w:t>
      </w:r>
    </w:p>
    <w:p w14:paraId="2783BFE7" w14:textId="77777777" w:rsidR="00245A05" w:rsidRPr="00245A05" w:rsidRDefault="00245A05" w:rsidP="00245A05">
      <w:pPr>
        <w:rPr>
          <w:b/>
          <w:bCs/>
        </w:rPr>
      </w:pPr>
      <w:r w:rsidRPr="00245A05">
        <w:rPr>
          <w:b/>
          <w:bCs/>
        </w:rPr>
        <w:t>Fundamentação</w:t>
      </w:r>
    </w:p>
    <w:p w14:paraId="0465D37E" w14:textId="77777777" w:rsidR="00245A05" w:rsidRPr="00245A05" w:rsidRDefault="00245A05" w:rsidP="00245A05">
      <w:pPr>
        <w:rPr>
          <w:b/>
          <w:bCs/>
        </w:rPr>
      </w:pPr>
      <w:r w:rsidRPr="00245A05">
        <w:rPr>
          <w:b/>
          <w:bCs/>
        </w:rPr>
        <w:t>1. Constitucionalidade</w:t>
      </w:r>
    </w:p>
    <w:p w14:paraId="516F42B1" w14:textId="77777777" w:rsidR="00245A05" w:rsidRPr="00245A05" w:rsidRDefault="00245A05" w:rsidP="00245A05">
      <w:pPr>
        <w:jc w:val="both"/>
      </w:pPr>
      <w:r w:rsidRPr="00245A05">
        <w:t xml:space="preserve">A matéria observa o </w:t>
      </w:r>
      <w:r w:rsidRPr="00245A05">
        <w:rPr>
          <w:b/>
          <w:bCs/>
        </w:rPr>
        <w:t>art. 5º, XXIV, da Constituição Federal</w:t>
      </w:r>
      <w:r w:rsidRPr="00245A05">
        <w:t xml:space="preserve">, que admite desapropriação por </w:t>
      </w:r>
      <w:r w:rsidRPr="00245A05">
        <w:rPr>
          <w:b/>
          <w:bCs/>
        </w:rPr>
        <w:t>utilidade pública</w:t>
      </w:r>
      <w:r w:rsidRPr="00245A05">
        <w:t xml:space="preserve">, mediante </w:t>
      </w:r>
      <w:r w:rsidRPr="00245A05">
        <w:rPr>
          <w:b/>
          <w:bCs/>
        </w:rPr>
        <w:t>justa e prévia indenização</w:t>
      </w:r>
      <w:r w:rsidRPr="00245A05">
        <w:t xml:space="preserve">. Enquadra-se também na </w:t>
      </w:r>
      <w:r w:rsidRPr="00245A05">
        <w:rPr>
          <w:b/>
          <w:bCs/>
        </w:rPr>
        <w:t>competência municipal</w:t>
      </w:r>
      <w:r w:rsidRPr="00245A05">
        <w:t xml:space="preserve"> (CF, art. 30) para organizar e prestar serviços de interesse local e executar políticas públicas de assistência social, finalidade à qual se vincula a </w:t>
      </w:r>
      <w:r w:rsidRPr="00245A05">
        <w:rPr>
          <w:b/>
          <w:bCs/>
        </w:rPr>
        <w:t>Casa Lar</w:t>
      </w:r>
      <w:r w:rsidRPr="00245A05">
        <w:t>.</w:t>
      </w:r>
    </w:p>
    <w:p w14:paraId="345E69CD" w14:textId="77777777" w:rsidR="00245A05" w:rsidRPr="00245A05" w:rsidRDefault="00245A05" w:rsidP="00245A05">
      <w:pPr>
        <w:rPr>
          <w:b/>
          <w:bCs/>
        </w:rPr>
      </w:pPr>
      <w:r w:rsidRPr="00245A05">
        <w:rPr>
          <w:b/>
          <w:bCs/>
        </w:rPr>
        <w:lastRenderedPageBreak/>
        <w:t>2. Legalidade</w:t>
      </w:r>
    </w:p>
    <w:p w14:paraId="250DADB9" w14:textId="77777777" w:rsidR="00245A05" w:rsidRPr="00245A05" w:rsidRDefault="00245A05" w:rsidP="00245A05">
      <w:pPr>
        <w:jc w:val="both"/>
      </w:pPr>
      <w:r w:rsidRPr="00245A05">
        <w:t xml:space="preserve">O procedimento atende ao </w:t>
      </w:r>
      <w:r w:rsidRPr="00245A05">
        <w:rPr>
          <w:b/>
          <w:bCs/>
        </w:rPr>
        <w:t>Decreto-Lei nº 3.365/1941</w:t>
      </w:r>
      <w:r w:rsidRPr="00245A05">
        <w:t xml:space="preserve">, com </w:t>
      </w:r>
      <w:r w:rsidRPr="00245A05">
        <w:rPr>
          <w:b/>
          <w:bCs/>
        </w:rPr>
        <w:t>declaração de utilidade pública</w:t>
      </w:r>
      <w:r w:rsidRPr="00245A05">
        <w:t xml:space="preserve"> (Decreto Municipal nº </w:t>
      </w:r>
      <w:r w:rsidRPr="00245A05">
        <w:rPr>
          <w:b/>
          <w:bCs/>
        </w:rPr>
        <w:t>4.260/2025</w:t>
      </w:r>
      <w:r w:rsidRPr="00245A05">
        <w:t xml:space="preserve">) e previsão de </w:t>
      </w:r>
      <w:r w:rsidRPr="00245A05">
        <w:rPr>
          <w:b/>
          <w:bCs/>
        </w:rPr>
        <w:t>composição amigável</w:t>
      </w:r>
      <w:r w:rsidRPr="00245A05">
        <w:t xml:space="preserve"> e, se necessário, </w:t>
      </w:r>
      <w:r w:rsidRPr="00245A05">
        <w:rPr>
          <w:b/>
          <w:bCs/>
        </w:rPr>
        <w:t>ação judicial com urgência</w:t>
      </w:r>
      <w:r w:rsidRPr="00245A05">
        <w:t xml:space="preserve"> (art. 15). O </w:t>
      </w:r>
      <w:r w:rsidRPr="00245A05">
        <w:rPr>
          <w:b/>
          <w:bCs/>
        </w:rPr>
        <w:t>montante indenizatório</w:t>
      </w:r>
      <w:r w:rsidRPr="00245A05">
        <w:t xml:space="preserve"> resultou de </w:t>
      </w:r>
      <w:r w:rsidRPr="00245A05">
        <w:rPr>
          <w:b/>
          <w:bCs/>
        </w:rPr>
        <w:t>avaliação técnica</w:t>
      </w:r>
      <w:r w:rsidRPr="00245A05">
        <w:t xml:space="preserve"> (comissão e conciliação de laudos de corretores), preservando a exigência de </w:t>
      </w:r>
      <w:r w:rsidRPr="00245A05">
        <w:rPr>
          <w:b/>
          <w:bCs/>
        </w:rPr>
        <w:t>indenização prévia e justa</w:t>
      </w:r>
      <w:r w:rsidRPr="00245A05">
        <w:t xml:space="preserve">. </w:t>
      </w:r>
    </w:p>
    <w:p w14:paraId="18CE5A4A" w14:textId="77777777" w:rsidR="00245A05" w:rsidRPr="00245A05" w:rsidRDefault="00245A05" w:rsidP="00245A05">
      <w:pPr>
        <w:rPr>
          <w:b/>
          <w:bCs/>
        </w:rPr>
      </w:pPr>
      <w:r w:rsidRPr="00245A05">
        <w:rPr>
          <w:b/>
          <w:bCs/>
        </w:rPr>
        <w:t>3. Técnica legislativa</w:t>
      </w:r>
    </w:p>
    <w:p w14:paraId="3F6A98AF" w14:textId="77777777" w:rsidR="00245A05" w:rsidRPr="00245A05" w:rsidRDefault="00245A05" w:rsidP="00245A05">
      <w:pPr>
        <w:jc w:val="both"/>
      </w:pPr>
      <w:r w:rsidRPr="00245A05">
        <w:t xml:space="preserve">O texto é </w:t>
      </w:r>
      <w:r w:rsidRPr="00245A05">
        <w:rPr>
          <w:b/>
          <w:bCs/>
        </w:rPr>
        <w:t>claro e objetivo</w:t>
      </w:r>
      <w:r w:rsidRPr="00245A05">
        <w:t xml:space="preserve">, identifica o bem, o titular, a finalidade pública, o valor e a fonte de custeio. Todavia, esta Comissão </w:t>
      </w:r>
      <w:r w:rsidRPr="00245A05">
        <w:rPr>
          <w:b/>
          <w:bCs/>
        </w:rPr>
        <w:t>recomenda ajustes redacionais</w:t>
      </w:r>
      <w:r w:rsidRPr="00245A05">
        <w:t xml:space="preserve"> para aperfeiçoamento formal, </w:t>
      </w:r>
      <w:r w:rsidRPr="00245A05">
        <w:rPr>
          <w:b/>
          <w:bCs/>
        </w:rPr>
        <w:t>sem alteração de mérito</w:t>
      </w:r>
      <w:r w:rsidRPr="00245A05">
        <w:t>:</w:t>
      </w:r>
    </w:p>
    <w:p w14:paraId="77703635" w14:textId="77777777" w:rsidR="00245A05" w:rsidRPr="00245A05" w:rsidRDefault="00245A05" w:rsidP="00245A05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245A05">
        <w:rPr>
          <w:b/>
          <w:bCs/>
        </w:rPr>
        <w:t>Art. 8º –</w:t>
      </w:r>
      <w:r w:rsidRPr="00245A05">
        <w:t xml:space="preserve"> substituir a expressão </w:t>
      </w:r>
      <w:r w:rsidRPr="00245A05">
        <w:rPr>
          <w:b/>
          <w:bCs/>
        </w:rPr>
        <w:t>“Este Decreto entra em vigor…”</w:t>
      </w:r>
      <w:r w:rsidRPr="00245A05">
        <w:t xml:space="preserve"> por </w:t>
      </w:r>
      <w:r w:rsidRPr="00245A05">
        <w:rPr>
          <w:b/>
          <w:bCs/>
        </w:rPr>
        <w:t>“Esta Lei entra em vigor…”</w:t>
      </w:r>
      <w:r w:rsidRPr="00245A05">
        <w:t xml:space="preserve">. </w:t>
      </w:r>
    </w:p>
    <w:p w14:paraId="26DC77C8" w14:textId="77777777" w:rsidR="00245A05" w:rsidRPr="00245A05" w:rsidRDefault="00245A05" w:rsidP="00245A05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245A05">
        <w:rPr>
          <w:b/>
          <w:bCs/>
        </w:rPr>
        <w:t>Justificativa –</w:t>
      </w:r>
      <w:r w:rsidRPr="00245A05">
        <w:t xml:space="preserve"> onde se lê </w:t>
      </w:r>
      <w:r w:rsidRPr="00245A05">
        <w:rPr>
          <w:b/>
          <w:bCs/>
        </w:rPr>
        <w:t>“Projeto de Lei nº 100/2025”</w:t>
      </w:r>
      <w:r w:rsidRPr="00245A05">
        <w:t xml:space="preserve">, corrigir para </w:t>
      </w:r>
      <w:r w:rsidRPr="00245A05">
        <w:rPr>
          <w:b/>
          <w:bCs/>
        </w:rPr>
        <w:t>“Projeto de Lei nº 99/2025”</w:t>
      </w:r>
      <w:r w:rsidRPr="00245A05">
        <w:t xml:space="preserve">. </w:t>
      </w:r>
    </w:p>
    <w:p w14:paraId="72EBF61D" w14:textId="77777777" w:rsidR="00245A05" w:rsidRPr="00245A05" w:rsidRDefault="00245A05" w:rsidP="00245A05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245A05">
        <w:rPr>
          <w:b/>
          <w:bCs/>
        </w:rPr>
        <w:t>Padronização de estilo</w:t>
      </w:r>
      <w:r w:rsidRPr="00245A05">
        <w:t xml:space="preserve">: grafar </w:t>
      </w:r>
      <w:r w:rsidRPr="00245A05">
        <w:rPr>
          <w:b/>
          <w:bCs/>
        </w:rPr>
        <w:t>“Parágrafo único”</w:t>
      </w:r>
      <w:r w:rsidRPr="00245A05">
        <w:t xml:space="preserve"> (minúsculas) e uniformizar siglas/nomes próprios, mantendo a ortografia oficial (ex.: </w:t>
      </w:r>
      <w:r w:rsidRPr="00245A05">
        <w:rPr>
          <w:b/>
          <w:bCs/>
        </w:rPr>
        <w:t>Casa Lar – Abrigo Institucional</w:t>
      </w:r>
      <w:r w:rsidRPr="00245A05">
        <w:t xml:space="preserve">). </w:t>
      </w:r>
    </w:p>
    <w:p w14:paraId="614DBB28" w14:textId="77777777" w:rsidR="00245A05" w:rsidRPr="00245A05" w:rsidRDefault="00245A05" w:rsidP="00245A05">
      <w:pPr>
        <w:rPr>
          <w:b/>
          <w:bCs/>
        </w:rPr>
      </w:pPr>
      <w:r w:rsidRPr="00245A05">
        <w:rPr>
          <w:b/>
          <w:bCs/>
        </w:rPr>
        <w:t>Conclusão</w:t>
      </w:r>
    </w:p>
    <w:p w14:paraId="7E11DAD9" w14:textId="77777777" w:rsidR="00245A05" w:rsidRPr="00245A05" w:rsidRDefault="00245A05" w:rsidP="00245A05">
      <w:pPr>
        <w:jc w:val="both"/>
      </w:pPr>
      <w:r w:rsidRPr="00245A05">
        <w:t xml:space="preserve">Ante o exposto, a Comissão de Justiça e Redação </w:t>
      </w:r>
      <w:r w:rsidRPr="00245A05">
        <w:rPr>
          <w:b/>
          <w:bCs/>
        </w:rPr>
        <w:t>opina pela CONSTITUCIONALIDADE, LEGALIDADE e ADEQUAÇÃO DE TÉCNICA LEGISLATIVA</w:t>
      </w:r>
      <w:r w:rsidRPr="00245A05">
        <w:t xml:space="preserve"> do Projeto de Lei nº </w:t>
      </w:r>
      <w:r w:rsidRPr="00245A05">
        <w:rPr>
          <w:b/>
          <w:bCs/>
        </w:rPr>
        <w:t>99/2025</w:t>
      </w:r>
      <w:r w:rsidRPr="00245A05">
        <w:t xml:space="preserve">, </w:t>
      </w:r>
      <w:r w:rsidRPr="00245A05">
        <w:rPr>
          <w:b/>
          <w:bCs/>
        </w:rPr>
        <w:t>emitindo PARECER FAVORÁVEL à sua aprovação</w:t>
      </w:r>
      <w:r w:rsidRPr="00245A05">
        <w:t xml:space="preserve">, com as </w:t>
      </w:r>
      <w:r w:rsidRPr="00245A05">
        <w:rPr>
          <w:b/>
          <w:bCs/>
        </w:rPr>
        <w:t>correções redacionais</w:t>
      </w:r>
      <w:r w:rsidRPr="00245A05">
        <w:t xml:space="preserve"> indicadas no item 3.</w:t>
      </w:r>
    </w:p>
    <w:p w14:paraId="0E05B790" w14:textId="77777777" w:rsidR="00245A05" w:rsidRPr="00245A05" w:rsidRDefault="00245A05" w:rsidP="00245A05"/>
    <w:p w14:paraId="0C5FC530" w14:textId="77777777" w:rsidR="00245A05" w:rsidRDefault="00245A05" w:rsidP="00245A05">
      <w:pPr>
        <w:rPr>
          <w:b/>
          <w:bCs/>
        </w:rPr>
      </w:pPr>
      <w:r w:rsidRPr="00245A05">
        <w:rPr>
          <w:b/>
          <w:bCs/>
        </w:rPr>
        <w:t xml:space="preserve">Sala das Comissões, </w:t>
      </w:r>
      <w:r>
        <w:rPr>
          <w:b/>
          <w:bCs/>
        </w:rPr>
        <w:t>22 de agosto de 2025.</w:t>
      </w:r>
    </w:p>
    <w:p w14:paraId="511C8CEA" w14:textId="77777777" w:rsidR="00245A05" w:rsidRPr="00245A05" w:rsidRDefault="00245A05" w:rsidP="00245A05"/>
    <w:p w14:paraId="4F56DBFA" w14:textId="77777777" w:rsidR="00245A05" w:rsidRDefault="00245A05" w:rsidP="00245A05">
      <w:r w:rsidRPr="00245A05">
        <w:rPr>
          <w:b/>
          <w:bCs/>
        </w:rPr>
        <w:t>Cláudio Alain Guterres do Carmo</w:t>
      </w:r>
      <w:r w:rsidRPr="00245A05">
        <w:t xml:space="preserve"> – Presidente</w:t>
      </w:r>
    </w:p>
    <w:p w14:paraId="5241E008" w14:textId="77777777" w:rsidR="00245A05" w:rsidRDefault="00245A05" w:rsidP="00245A05">
      <w:r w:rsidRPr="00245A05">
        <w:br/>
      </w:r>
      <w:proofErr w:type="spellStart"/>
      <w:r w:rsidRPr="00245A05">
        <w:rPr>
          <w:b/>
          <w:bCs/>
        </w:rPr>
        <w:t>Clairton</w:t>
      </w:r>
      <w:proofErr w:type="spellEnd"/>
      <w:r w:rsidRPr="00245A05">
        <w:rPr>
          <w:b/>
          <w:bCs/>
        </w:rPr>
        <w:t xml:space="preserve"> </w:t>
      </w:r>
      <w:proofErr w:type="spellStart"/>
      <w:r w:rsidRPr="00245A05">
        <w:rPr>
          <w:b/>
          <w:bCs/>
        </w:rPr>
        <w:t>Antonio</w:t>
      </w:r>
      <w:proofErr w:type="spellEnd"/>
      <w:r w:rsidRPr="00245A05">
        <w:rPr>
          <w:b/>
          <w:bCs/>
        </w:rPr>
        <w:t xml:space="preserve"> Cauduro</w:t>
      </w:r>
      <w:r w:rsidRPr="00245A05">
        <w:t xml:space="preserve"> – Relator</w:t>
      </w:r>
    </w:p>
    <w:p w14:paraId="443C876B" w14:textId="77777777" w:rsidR="00245A05" w:rsidRPr="00245A05" w:rsidRDefault="00245A05" w:rsidP="00245A05">
      <w:r w:rsidRPr="00245A05">
        <w:br/>
      </w:r>
      <w:r w:rsidRPr="00245A05">
        <w:rPr>
          <w:b/>
          <w:bCs/>
        </w:rPr>
        <w:t>Micheli Alves de Lima</w:t>
      </w:r>
      <w:r w:rsidRPr="00245A05">
        <w:t xml:space="preserve"> – Secretária</w:t>
      </w:r>
    </w:p>
    <w:p w14:paraId="6123FF04" w14:textId="77777777" w:rsidR="00245A05" w:rsidRDefault="00245A05"/>
    <w:sectPr w:rsidR="00245A05" w:rsidSect="00245A05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B698E"/>
    <w:multiLevelType w:val="multilevel"/>
    <w:tmpl w:val="5154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13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05"/>
    <w:rsid w:val="00245A05"/>
    <w:rsid w:val="00940F0F"/>
    <w:rsid w:val="0097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3679"/>
  <w15:chartTrackingRefBased/>
  <w15:docId w15:val="{8B447B94-0899-4918-8DD4-E58BF60D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45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5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5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5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5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5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5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5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5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5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5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5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5A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5A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5A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5A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5A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5A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5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5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5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5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5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5A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5A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5A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5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5A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5A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2025-08-22T13:59:00Z</dcterms:created>
  <dcterms:modified xsi:type="dcterms:W3CDTF">2025-08-22T14:14:00Z</dcterms:modified>
</cp:coreProperties>
</file>