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5B72" w14:textId="77777777" w:rsidR="006B55A2" w:rsidRPr="006B55A2" w:rsidRDefault="006B55A2" w:rsidP="006B55A2">
      <w:pPr>
        <w:rPr>
          <w:b/>
          <w:bCs/>
        </w:rPr>
      </w:pPr>
      <w:r w:rsidRPr="006B55A2">
        <w:rPr>
          <w:b/>
          <w:bCs/>
        </w:rPr>
        <w:t>PARECER Nº 068/2025</w:t>
      </w:r>
    </w:p>
    <w:p w14:paraId="5D8C0C43" w14:textId="77777777" w:rsidR="006B55A2" w:rsidRPr="006B55A2" w:rsidRDefault="006B55A2" w:rsidP="006B55A2">
      <w:r w:rsidRPr="006B55A2">
        <w:rPr>
          <w:b/>
          <w:bCs/>
        </w:rPr>
        <w:t>DA COMISSÃO DE FINANÇAS E ORÇAMENTO</w:t>
      </w:r>
      <w:r w:rsidRPr="006B55A2">
        <w:br/>
      </w:r>
      <w:r w:rsidRPr="006B55A2">
        <w:rPr>
          <w:b/>
          <w:bCs/>
        </w:rPr>
        <w:t>AO PROJETO DE LEI Nº 087/2025</w:t>
      </w:r>
    </w:p>
    <w:p w14:paraId="60BF5D19" w14:textId="00A17264" w:rsidR="006B55A2" w:rsidRPr="006B55A2" w:rsidRDefault="006B55A2" w:rsidP="006B55A2"/>
    <w:p w14:paraId="28638477" w14:textId="77777777" w:rsidR="006B55A2" w:rsidRPr="006B55A2" w:rsidRDefault="006B55A2" w:rsidP="006B55A2">
      <w:r w:rsidRPr="006B55A2">
        <w:rPr>
          <w:b/>
          <w:bCs/>
        </w:rPr>
        <w:t>EMENTA:</w:t>
      </w:r>
      <w:r w:rsidRPr="006B55A2">
        <w:br/>
      </w:r>
      <w:r w:rsidRPr="006B55A2">
        <w:rPr>
          <w:b/>
          <w:bCs/>
        </w:rPr>
        <w:t>Autoriza o Poder Executivo a contratar operação de crédito com a Caixa Econômica Federal, e dá outras providências.</w:t>
      </w:r>
    </w:p>
    <w:p w14:paraId="0CDD90CA" w14:textId="2CBA42CD" w:rsidR="006B55A2" w:rsidRPr="006B55A2" w:rsidRDefault="006B55A2" w:rsidP="006B55A2"/>
    <w:p w14:paraId="2B085AC5" w14:textId="77777777" w:rsidR="006B55A2" w:rsidRPr="006B55A2" w:rsidRDefault="006B55A2" w:rsidP="006B55A2">
      <w:pPr>
        <w:jc w:val="both"/>
      </w:pPr>
      <w:r w:rsidRPr="006B55A2">
        <w:t xml:space="preserve">A Comissão de Finanças e Orçamento, no uso de suas atribuições legais e regimentais, em especial o disposto no Regimento Interno da Câmara Municipal de Santo Antônio do Sudoeste, analisou o Projeto de Lei nº 087/2025, de autoria do Poder Executivo Municipal, que </w:t>
      </w:r>
      <w:r w:rsidRPr="006B55A2">
        <w:rPr>
          <w:b/>
          <w:bCs/>
        </w:rPr>
        <w:t>visa autorizar a contratação de operação de crédito junto à Caixa Econômica Federal, no valor de até R$ 5.000.000,00 (cinco milhões de reais), no âmbito do FINISA – Financiamento à Infraestrutura e ao Saneamento, destinado a despesas de capital</w:t>
      </w:r>
      <w:r w:rsidRPr="006B55A2">
        <w:t>.</w:t>
      </w:r>
    </w:p>
    <w:p w14:paraId="7A8EF2AE" w14:textId="77777777" w:rsidR="006B55A2" w:rsidRPr="006B55A2" w:rsidRDefault="006B55A2" w:rsidP="006B55A2">
      <w:pPr>
        <w:jc w:val="both"/>
      </w:pPr>
      <w:r w:rsidRPr="006B55A2">
        <w:t xml:space="preserve">Conforme consta na justificativa que acompanha o projeto, os recursos obtidos por meio da referida operação de crédito </w:t>
      </w:r>
      <w:r w:rsidRPr="006B55A2">
        <w:rPr>
          <w:b/>
          <w:bCs/>
        </w:rPr>
        <w:t>serão destinados a investimentos diversos</w:t>
      </w:r>
      <w:r w:rsidRPr="006B55A2">
        <w:t>, com destaque para:</w:t>
      </w:r>
    </w:p>
    <w:p w14:paraId="5901097A" w14:textId="77777777" w:rsidR="006B55A2" w:rsidRPr="006B55A2" w:rsidRDefault="006B55A2" w:rsidP="006B55A2">
      <w:pPr>
        <w:numPr>
          <w:ilvl w:val="0"/>
          <w:numId w:val="1"/>
        </w:numPr>
        <w:jc w:val="both"/>
      </w:pPr>
      <w:r w:rsidRPr="006B55A2">
        <w:t>Depósito caução para convênio com a Companhia de Habitação do Paraná – COHAPAR;</w:t>
      </w:r>
    </w:p>
    <w:p w14:paraId="17D5685C" w14:textId="77777777" w:rsidR="006B55A2" w:rsidRPr="006B55A2" w:rsidRDefault="006B55A2" w:rsidP="006B55A2">
      <w:pPr>
        <w:numPr>
          <w:ilvl w:val="0"/>
          <w:numId w:val="1"/>
        </w:numPr>
        <w:jc w:val="both"/>
      </w:pPr>
      <w:r w:rsidRPr="006B55A2">
        <w:t>Contrapartida de convênios com a Secretaria de Estado das Cidades – SECID;</w:t>
      </w:r>
    </w:p>
    <w:p w14:paraId="71115F7F" w14:textId="77777777" w:rsidR="006B55A2" w:rsidRPr="006B55A2" w:rsidRDefault="006B55A2" w:rsidP="006B55A2">
      <w:pPr>
        <w:numPr>
          <w:ilvl w:val="0"/>
          <w:numId w:val="1"/>
        </w:numPr>
        <w:jc w:val="both"/>
      </w:pPr>
      <w:r w:rsidRPr="006B55A2">
        <w:t>Aquisição de equipamentos.</w:t>
      </w:r>
    </w:p>
    <w:p w14:paraId="42896F51" w14:textId="77777777" w:rsidR="006B55A2" w:rsidRPr="006B55A2" w:rsidRDefault="006B55A2" w:rsidP="006B55A2">
      <w:pPr>
        <w:jc w:val="both"/>
      </w:pPr>
      <w:r w:rsidRPr="006B55A2">
        <w:t xml:space="preserve">O financiamento terá prazo total de 120 meses, com </w:t>
      </w:r>
      <w:r w:rsidRPr="006B55A2">
        <w:rPr>
          <w:b/>
          <w:bCs/>
        </w:rPr>
        <w:t>12 meses de carência</w:t>
      </w:r>
      <w:r w:rsidRPr="006B55A2">
        <w:t xml:space="preserve"> e </w:t>
      </w:r>
      <w:r w:rsidRPr="006B55A2">
        <w:rPr>
          <w:b/>
          <w:bCs/>
        </w:rPr>
        <w:t>108 meses para amortização</w:t>
      </w:r>
      <w:r w:rsidRPr="006B55A2">
        <w:t xml:space="preserve">, e taxa pré-fixada de </w:t>
      </w:r>
      <w:r w:rsidRPr="006B55A2">
        <w:rPr>
          <w:b/>
          <w:bCs/>
        </w:rPr>
        <w:t>135,83% do CDI</w:t>
      </w:r>
      <w:r w:rsidRPr="006B55A2">
        <w:t xml:space="preserve">, acrescida de comissão de contratação de </w:t>
      </w:r>
      <w:r w:rsidRPr="006B55A2">
        <w:rPr>
          <w:b/>
          <w:bCs/>
        </w:rPr>
        <w:t>2%</w:t>
      </w:r>
      <w:r w:rsidRPr="006B55A2">
        <w:t xml:space="preserve"> sobre o valor total, conforme simulação apresentada.</w:t>
      </w:r>
    </w:p>
    <w:p w14:paraId="2D804AB9" w14:textId="77777777" w:rsidR="006B55A2" w:rsidRPr="006B55A2" w:rsidRDefault="006B55A2" w:rsidP="006B55A2">
      <w:pPr>
        <w:jc w:val="both"/>
      </w:pPr>
      <w:r w:rsidRPr="006B55A2">
        <w:t>Nos termos do art. 32 da Lei Complementar nº 101/2000 (Lei de Responsabilidade Fiscal), o projeto é acompanhado de:</w:t>
      </w:r>
    </w:p>
    <w:p w14:paraId="2DBF5BF2" w14:textId="77777777" w:rsidR="006B55A2" w:rsidRPr="006B55A2" w:rsidRDefault="006B55A2" w:rsidP="006B55A2">
      <w:pPr>
        <w:numPr>
          <w:ilvl w:val="0"/>
          <w:numId w:val="2"/>
        </w:numPr>
        <w:jc w:val="both"/>
      </w:pPr>
      <w:r w:rsidRPr="006B55A2">
        <w:t>Justificativa técnica e financeira;</w:t>
      </w:r>
    </w:p>
    <w:p w14:paraId="21372A5C" w14:textId="77777777" w:rsidR="006B55A2" w:rsidRPr="006B55A2" w:rsidRDefault="006B55A2" w:rsidP="006B55A2">
      <w:pPr>
        <w:numPr>
          <w:ilvl w:val="0"/>
          <w:numId w:val="2"/>
        </w:numPr>
        <w:jc w:val="both"/>
      </w:pPr>
      <w:r w:rsidRPr="006B55A2">
        <w:t>Quadro demonstrativo do impacto orçamentário-financeiro para os exercícios de 2025 e 2026;</w:t>
      </w:r>
    </w:p>
    <w:p w14:paraId="5C60BDEC" w14:textId="77777777" w:rsidR="006B55A2" w:rsidRPr="006B55A2" w:rsidRDefault="006B55A2" w:rsidP="006B55A2">
      <w:pPr>
        <w:numPr>
          <w:ilvl w:val="0"/>
          <w:numId w:val="2"/>
        </w:numPr>
        <w:jc w:val="both"/>
      </w:pPr>
      <w:r w:rsidRPr="006B55A2">
        <w:t>Declaração de compatibilidade com a Lei de Diretrizes Orçamentárias e o Plano Plurianual;</w:t>
      </w:r>
    </w:p>
    <w:p w14:paraId="0662F0E9" w14:textId="77777777" w:rsidR="006B55A2" w:rsidRPr="006B55A2" w:rsidRDefault="006B55A2" w:rsidP="006B55A2">
      <w:pPr>
        <w:numPr>
          <w:ilvl w:val="0"/>
          <w:numId w:val="2"/>
        </w:numPr>
        <w:jc w:val="both"/>
      </w:pPr>
      <w:r w:rsidRPr="006B55A2">
        <w:lastRenderedPageBreak/>
        <w:t>Estimativa de receita e despesa com a nova obrigação financeira, evidenciando a manutenção dos limites de endividamento.</w:t>
      </w:r>
    </w:p>
    <w:p w14:paraId="1CC0DCE2" w14:textId="77777777" w:rsidR="006B55A2" w:rsidRPr="006B55A2" w:rsidRDefault="006B55A2" w:rsidP="006B55A2">
      <w:pPr>
        <w:jc w:val="both"/>
      </w:pPr>
      <w:r w:rsidRPr="006B55A2">
        <w:t xml:space="preserve">A análise da Comissão conclui que </w:t>
      </w:r>
      <w:r w:rsidRPr="006B55A2">
        <w:rPr>
          <w:b/>
          <w:bCs/>
        </w:rPr>
        <w:t>o projeto está devidamente instruído e atende aos requisitos legais para a contratação da operação de crédito</w:t>
      </w:r>
      <w:r w:rsidRPr="006B55A2">
        <w:t>, não havendo, portanto, óbices de ordem financeira ou orçamentária.</w:t>
      </w:r>
    </w:p>
    <w:p w14:paraId="2DE69375" w14:textId="77777777" w:rsidR="006B55A2" w:rsidRPr="006B55A2" w:rsidRDefault="006B55A2" w:rsidP="006B55A2">
      <w:pPr>
        <w:jc w:val="both"/>
      </w:pPr>
      <w:r w:rsidRPr="006B55A2">
        <w:t xml:space="preserve">Diante do exposto, </w:t>
      </w:r>
      <w:r w:rsidRPr="006B55A2">
        <w:rPr>
          <w:b/>
          <w:bCs/>
        </w:rPr>
        <w:t>esta Comissão opina pela aprovação do Projeto de Lei nº 087/2025</w:t>
      </w:r>
      <w:r w:rsidRPr="006B55A2">
        <w:t>, por entender que está em conformidade com a legislação vigente e que os investimentos propostos trarão benefícios relevantes à coletividade.</w:t>
      </w:r>
    </w:p>
    <w:p w14:paraId="01B3C2AE" w14:textId="12F3C431" w:rsidR="006B55A2" w:rsidRPr="006B55A2" w:rsidRDefault="006B55A2" w:rsidP="006B55A2"/>
    <w:p w14:paraId="68403226" w14:textId="77777777" w:rsidR="006B55A2" w:rsidRDefault="006B55A2" w:rsidP="006B55A2">
      <w:pPr>
        <w:rPr>
          <w:b/>
          <w:bCs/>
        </w:rPr>
      </w:pPr>
      <w:r w:rsidRPr="006B55A2">
        <w:rPr>
          <w:b/>
          <w:bCs/>
        </w:rPr>
        <w:t>Sala das Comissões, 04 de agosto de 2025.</w:t>
      </w:r>
    </w:p>
    <w:p w14:paraId="4DC7A984" w14:textId="77777777" w:rsidR="006B55A2" w:rsidRPr="006B55A2" w:rsidRDefault="006B55A2" w:rsidP="006B55A2"/>
    <w:p w14:paraId="01D0CAB4" w14:textId="77777777" w:rsidR="006B55A2" w:rsidRPr="006B55A2" w:rsidRDefault="006B55A2" w:rsidP="006B55A2">
      <w:r w:rsidRPr="006B55A2">
        <w:rPr>
          <w:b/>
          <w:bCs/>
        </w:rPr>
        <w:t>_________________________________</w:t>
      </w:r>
      <w:r w:rsidRPr="006B55A2">
        <w:br/>
      </w:r>
      <w:r w:rsidRPr="006B55A2">
        <w:rPr>
          <w:b/>
          <w:bCs/>
        </w:rPr>
        <w:t>Vereadora Micheli Alves de Lima</w:t>
      </w:r>
      <w:r w:rsidRPr="006B55A2">
        <w:br/>
        <w:t>Presidente da Comissão</w:t>
      </w:r>
    </w:p>
    <w:p w14:paraId="41FD1F47" w14:textId="77777777" w:rsidR="006B55A2" w:rsidRPr="006B55A2" w:rsidRDefault="006B55A2" w:rsidP="006B55A2">
      <w:r w:rsidRPr="006B55A2">
        <w:rPr>
          <w:b/>
          <w:bCs/>
        </w:rPr>
        <w:t>_________________________________</w:t>
      </w:r>
      <w:r w:rsidRPr="006B55A2">
        <w:br/>
      </w:r>
      <w:r w:rsidRPr="006B55A2">
        <w:rPr>
          <w:b/>
          <w:bCs/>
        </w:rPr>
        <w:t>Vereador Claudio Alain Guterres do Carmo</w:t>
      </w:r>
      <w:r w:rsidRPr="006B55A2">
        <w:br/>
        <w:t>Relator</w:t>
      </w:r>
    </w:p>
    <w:p w14:paraId="677FD7AE" w14:textId="10FFD1B3" w:rsidR="006B55A2" w:rsidRDefault="006B55A2" w:rsidP="006B55A2">
      <w:pPr>
        <w:rPr>
          <w:b/>
          <w:bCs/>
        </w:rPr>
      </w:pPr>
      <w:r w:rsidRPr="006B55A2">
        <w:rPr>
          <w:b/>
          <w:bCs/>
        </w:rPr>
        <w:t>_________________________________</w:t>
      </w:r>
      <w:r w:rsidRPr="006B55A2">
        <w:br/>
      </w:r>
      <w:r w:rsidRPr="006B55A2">
        <w:rPr>
          <w:b/>
          <w:bCs/>
        </w:rPr>
        <w:t>Vereador</w:t>
      </w:r>
      <w:r>
        <w:rPr>
          <w:b/>
          <w:bCs/>
        </w:rPr>
        <w:t>a</w:t>
      </w:r>
      <w:r w:rsidRPr="006B55A2">
        <w:rPr>
          <w:b/>
          <w:bCs/>
        </w:rPr>
        <w:t xml:space="preserve"> </w:t>
      </w:r>
      <w:proofErr w:type="spellStart"/>
      <w:r>
        <w:rPr>
          <w:b/>
          <w:bCs/>
        </w:rPr>
        <w:t>Eliz</w:t>
      </w:r>
      <w:proofErr w:type="spellEnd"/>
      <w:r>
        <w:rPr>
          <w:b/>
          <w:bCs/>
        </w:rPr>
        <w:t xml:space="preserve"> Maria </w:t>
      </w:r>
      <w:proofErr w:type="spellStart"/>
      <w:r>
        <w:rPr>
          <w:b/>
          <w:bCs/>
        </w:rPr>
        <w:t>Gradaschi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Scalon</w:t>
      </w:r>
      <w:proofErr w:type="spellEnd"/>
      <w:r>
        <w:rPr>
          <w:b/>
          <w:bCs/>
        </w:rPr>
        <w:t xml:space="preserve"> </w:t>
      </w:r>
    </w:p>
    <w:p w14:paraId="26A5B001" w14:textId="778C96BD" w:rsidR="006B55A2" w:rsidRPr="006B55A2" w:rsidRDefault="006B55A2" w:rsidP="006B55A2">
      <w:r w:rsidRPr="006B55A2">
        <w:t>Secretário</w:t>
      </w:r>
    </w:p>
    <w:p w14:paraId="084E52CD" w14:textId="37F423D7" w:rsidR="006B55A2" w:rsidRDefault="006B55A2"/>
    <w:sectPr w:rsidR="006B5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284"/>
    <w:multiLevelType w:val="multilevel"/>
    <w:tmpl w:val="1566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47D2E"/>
    <w:multiLevelType w:val="multilevel"/>
    <w:tmpl w:val="33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231672">
    <w:abstractNumId w:val="1"/>
  </w:num>
  <w:num w:numId="2" w16cid:durableId="61108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A2"/>
    <w:rsid w:val="004A634B"/>
    <w:rsid w:val="006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602"/>
  <w15:chartTrackingRefBased/>
  <w15:docId w15:val="{F012E702-9CC9-41D9-893F-7A2C083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55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55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55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55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55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55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55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55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55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55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5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2120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2025-08-04T12:33:00Z</dcterms:created>
  <dcterms:modified xsi:type="dcterms:W3CDTF">2025-08-04T12:36:00Z</dcterms:modified>
</cp:coreProperties>
</file>