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A98862" w14:textId="77777777" w:rsidR="007168D0" w:rsidRPr="00FE6D42" w:rsidRDefault="007168D0" w:rsidP="007168D0">
      <w:pPr>
        <w:rPr>
          <w:b/>
          <w:bCs/>
        </w:rPr>
      </w:pPr>
      <w:r w:rsidRPr="00FE6D42">
        <w:rPr>
          <w:b/>
          <w:bCs/>
        </w:rPr>
        <w:t>MINUTA DE DECRETO REGULAMENTAR (sugestão)</w:t>
      </w:r>
    </w:p>
    <w:p w14:paraId="53E1CF0C" w14:textId="77777777" w:rsidR="007168D0" w:rsidRPr="00FE6D42" w:rsidRDefault="007168D0" w:rsidP="007168D0">
      <w:r w:rsidRPr="00FE6D42">
        <w:rPr>
          <w:b/>
          <w:bCs/>
        </w:rPr>
        <w:t>DECRETO Nº ___/2025</w:t>
      </w:r>
    </w:p>
    <w:p w14:paraId="18D0E916" w14:textId="77777777" w:rsidR="007168D0" w:rsidRPr="00FE6D42" w:rsidRDefault="007168D0" w:rsidP="007168D0">
      <w:pPr>
        <w:jc w:val="both"/>
      </w:pPr>
      <w:r w:rsidRPr="00FE6D42">
        <w:t xml:space="preserve">Regulamenta a Lei nº ___/2025, que dispõe sobre a atividade de comércio de gêneros alimentícios em trailers e food </w:t>
      </w:r>
      <w:proofErr w:type="spellStart"/>
      <w:r w:rsidRPr="00FE6D42">
        <w:t>trucks</w:t>
      </w:r>
      <w:proofErr w:type="spellEnd"/>
      <w:r w:rsidRPr="00FE6D42">
        <w:t xml:space="preserve"> no Município de Santo Antônio do Sudoeste/PR.</w:t>
      </w:r>
    </w:p>
    <w:p w14:paraId="218AAFC9" w14:textId="77777777" w:rsidR="007168D0" w:rsidRPr="00FE6D42" w:rsidRDefault="007168D0" w:rsidP="007168D0">
      <w:r w:rsidRPr="00FE6D42">
        <w:rPr>
          <w:b/>
          <w:bCs/>
        </w:rPr>
        <w:t>O PREFEITO MUNICIPAL DE SANTO ANTÔNIO DO SUDOESTE/PR</w:t>
      </w:r>
      <w:r w:rsidRPr="00FE6D42">
        <w:t xml:space="preserve">, no uso das atribuições legais, </w:t>
      </w:r>
      <w:r w:rsidRPr="00FE6D42">
        <w:rPr>
          <w:b/>
          <w:bCs/>
        </w:rPr>
        <w:t>DECRETA</w:t>
      </w:r>
      <w:r w:rsidRPr="00FE6D42">
        <w:t>:</w:t>
      </w:r>
    </w:p>
    <w:p w14:paraId="60866DBC" w14:textId="77777777" w:rsidR="007168D0" w:rsidRPr="00FE6D42" w:rsidRDefault="007168D0" w:rsidP="007168D0">
      <w:pPr>
        <w:jc w:val="both"/>
      </w:pPr>
      <w:r w:rsidRPr="00FE6D42">
        <w:rPr>
          <w:b/>
          <w:bCs/>
        </w:rPr>
        <w:t>Art. 1º</w:t>
      </w:r>
      <w:r w:rsidRPr="00FE6D42">
        <w:t xml:space="preserve"> Ficam aprovados os </w:t>
      </w:r>
      <w:r w:rsidRPr="00FE6D42">
        <w:rPr>
          <w:b/>
          <w:bCs/>
        </w:rPr>
        <w:t>procedimentos de cadastro</w:t>
      </w:r>
      <w:r w:rsidRPr="00FE6D42">
        <w:t xml:space="preserve"> e </w:t>
      </w:r>
      <w:r w:rsidRPr="00FE6D42">
        <w:rPr>
          <w:b/>
          <w:bCs/>
        </w:rPr>
        <w:t>ordem de preferência</w:t>
      </w:r>
      <w:r w:rsidRPr="00FE6D42">
        <w:t xml:space="preserve"> para concessão de Permissão de Uso, observada a capacidade do logradouro, o impacto no trânsito e a vizinhança.</w:t>
      </w:r>
    </w:p>
    <w:p w14:paraId="202CBC96" w14:textId="77777777" w:rsidR="007168D0" w:rsidRPr="00FE6D42" w:rsidRDefault="007168D0" w:rsidP="007168D0">
      <w:pPr>
        <w:jc w:val="both"/>
      </w:pPr>
      <w:r w:rsidRPr="00FE6D42">
        <w:rPr>
          <w:b/>
          <w:bCs/>
        </w:rPr>
        <w:t>Art. 2º</w:t>
      </w:r>
      <w:r w:rsidRPr="00FE6D42">
        <w:t xml:space="preserve"> A fiscalização será realizada pela Vigilância Sanitária e pelos órgãos de posturas e trânsito municipais, podendo atuar </w:t>
      </w:r>
      <w:r w:rsidRPr="00FE6D42">
        <w:rPr>
          <w:b/>
          <w:bCs/>
        </w:rPr>
        <w:t>conjuntamente</w:t>
      </w:r>
      <w:r w:rsidRPr="00FE6D42">
        <w:t xml:space="preserve"> com o Corpo de Bombeiros.</w:t>
      </w:r>
    </w:p>
    <w:p w14:paraId="6F4B808F" w14:textId="77777777" w:rsidR="007168D0" w:rsidRPr="00FE6D42" w:rsidRDefault="007168D0" w:rsidP="007168D0">
      <w:pPr>
        <w:jc w:val="both"/>
      </w:pPr>
      <w:r w:rsidRPr="00FE6D42">
        <w:rPr>
          <w:b/>
          <w:bCs/>
        </w:rPr>
        <w:t>Art. 3º</w:t>
      </w:r>
      <w:r w:rsidRPr="00FE6D42">
        <w:t xml:space="preserve"> Os pontos públicos poderão adotar </w:t>
      </w:r>
      <w:r w:rsidRPr="00FE6D42">
        <w:rPr>
          <w:b/>
          <w:bCs/>
        </w:rPr>
        <w:t>rodízio</w:t>
      </w:r>
      <w:r w:rsidRPr="00FE6D42">
        <w:t xml:space="preserve"> e </w:t>
      </w:r>
      <w:r w:rsidRPr="00FE6D42">
        <w:rPr>
          <w:b/>
          <w:bCs/>
        </w:rPr>
        <w:t>limite de permanência</w:t>
      </w:r>
      <w:r w:rsidRPr="00FE6D42">
        <w:t xml:space="preserve"> por equipamento, conforme edital/portaria da Secretaria competente.</w:t>
      </w:r>
    </w:p>
    <w:p w14:paraId="3E8FE563" w14:textId="77777777" w:rsidR="007168D0" w:rsidRPr="00FE6D42" w:rsidRDefault="007168D0" w:rsidP="007168D0">
      <w:pPr>
        <w:jc w:val="both"/>
      </w:pPr>
      <w:r w:rsidRPr="00FE6D42">
        <w:rPr>
          <w:b/>
          <w:bCs/>
        </w:rPr>
        <w:t>Art. 4º</w:t>
      </w:r>
      <w:r w:rsidRPr="00FE6D42">
        <w:t xml:space="preserve"> Ficam aprovados os </w:t>
      </w:r>
      <w:r w:rsidRPr="00FE6D42">
        <w:rPr>
          <w:b/>
          <w:bCs/>
        </w:rPr>
        <w:t>Checklists</w:t>
      </w:r>
      <w:r w:rsidRPr="00FE6D42">
        <w:t xml:space="preserve"> constantes dos </w:t>
      </w:r>
      <w:r w:rsidRPr="00FE6D42">
        <w:rPr>
          <w:b/>
          <w:bCs/>
        </w:rPr>
        <w:t>Anexos I e II</w:t>
      </w:r>
      <w:r w:rsidRPr="00FE6D42">
        <w:t>, que deverão ser observados para concessão e renovação da Permissão de Uso e durante as inspeções.</w:t>
      </w:r>
    </w:p>
    <w:p w14:paraId="315FCF1F" w14:textId="77777777" w:rsidR="007168D0" w:rsidRPr="00FE6D42" w:rsidRDefault="007168D0" w:rsidP="007168D0">
      <w:pPr>
        <w:jc w:val="both"/>
      </w:pPr>
      <w:r w:rsidRPr="00FE6D42">
        <w:rPr>
          <w:b/>
          <w:bCs/>
        </w:rPr>
        <w:t>Art. 5º</w:t>
      </w:r>
      <w:r w:rsidRPr="00FE6D42">
        <w:t xml:space="preserve"> A </w:t>
      </w:r>
      <w:r w:rsidRPr="00FE6D42">
        <w:rPr>
          <w:b/>
          <w:bCs/>
        </w:rPr>
        <w:t>graduação da multa</w:t>
      </w:r>
      <w:r w:rsidRPr="00FE6D42">
        <w:t xml:space="preserve"> observará os critérios do art. 15, parágrafo único, da Lei nº/2025 e a tabela do </w:t>
      </w:r>
      <w:r w:rsidRPr="00FE6D42">
        <w:rPr>
          <w:b/>
          <w:bCs/>
        </w:rPr>
        <w:t>Anexo III</w:t>
      </w:r>
      <w:r w:rsidRPr="00FE6D42">
        <w:t>.</w:t>
      </w:r>
    </w:p>
    <w:p w14:paraId="4399AF07" w14:textId="77777777" w:rsidR="007168D0" w:rsidRPr="00FE6D42" w:rsidRDefault="007168D0" w:rsidP="007168D0">
      <w:pPr>
        <w:jc w:val="both"/>
      </w:pPr>
      <w:r w:rsidRPr="00FE6D42">
        <w:rPr>
          <w:b/>
          <w:bCs/>
        </w:rPr>
        <w:t>Art. 6º</w:t>
      </w:r>
      <w:r w:rsidRPr="00FE6D42">
        <w:t xml:space="preserve"> Este Decreto entra em vigor na data de sua publicação.</w:t>
      </w:r>
    </w:p>
    <w:p w14:paraId="79DC866B" w14:textId="77777777" w:rsidR="007168D0" w:rsidRPr="00FE6D42" w:rsidRDefault="007168D0" w:rsidP="007168D0"/>
    <w:p w14:paraId="1C1D9FC6" w14:textId="77777777" w:rsidR="007168D0" w:rsidRPr="00FE6D42" w:rsidRDefault="007168D0" w:rsidP="007168D0">
      <w:pPr>
        <w:rPr>
          <w:b/>
          <w:bCs/>
        </w:rPr>
      </w:pPr>
      <w:r w:rsidRPr="00FE6D42">
        <w:rPr>
          <w:b/>
          <w:bCs/>
        </w:rPr>
        <w:t>ANEXO I — Checklist sanitário (exemplo)</w:t>
      </w:r>
    </w:p>
    <w:p w14:paraId="37872DCC" w14:textId="77777777" w:rsidR="007168D0" w:rsidRDefault="007168D0" w:rsidP="007168D0">
      <w:pPr>
        <w:numPr>
          <w:ilvl w:val="0"/>
          <w:numId w:val="1"/>
        </w:numPr>
      </w:pPr>
      <w:r w:rsidRPr="00FE6D42">
        <w:t>Superfícies lisas impermeáveis;</w:t>
      </w:r>
    </w:p>
    <w:p w14:paraId="57F4ADCB" w14:textId="77777777" w:rsidR="007168D0" w:rsidRDefault="007168D0" w:rsidP="007168D0">
      <w:pPr>
        <w:numPr>
          <w:ilvl w:val="0"/>
          <w:numId w:val="1"/>
        </w:numPr>
      </w:pPr>
      <w:r w:rsidRPr="00FE6D42">
        <w:t xml:space="preserve">  Pia funcional (mãos/utensílios); </w:t>
      </w:r>
    </w:p>
    <w:p w14:paraId="60BC37E9" w14:textId="77777777" w:rsidR="007168D0" w:rsidRDefault="007168D0" w:rsidP="007168D0">
      <w:pPr>
        <w:numPr>
          <w:ilvl w:val="0"/>
          <w:numId w:val="1"/>
        </w:numPr>
      </w:pPr>
      <w:r w:rsidRPr="00FE6D42">
        <w:t xml:space="preserve"> Água potável suficiente;</w:t>
      </w:r>
    </w:p>
    <w:p w14:paraId="2FB9C674" w14:textId="77777777" w:rsidR="007168D0" w:rsidRDefault="007168D0" w:rsidP="007168D0">
      <w:pPr>
        <w:numPr>
          <w:ilvl w:val="0"/>
          <w:numId w:val="1"/>
        </w:numPr>
      </w:pPr>
      <w:r w:rsidRPr="00FE6D42">
        <w:t xml:space="preserve"> Reservatório de efluentes;</w:t>
      </w:r>
    </w:p>
    <w:p w14:paraId="04FF1DB2" w14:textId="77777777" w:rsidR="007168D0" w:rsidRDefault="007168D0" w:rsidP="007168D0">
      <w:pPr>
        <w:numPr>
          <w:ilvl w:val="0"/>
          <w:numId w:val="1"/>
        </w:numPr>
      </w:pPr>
      <w:r w:rsidRPr="00FE6D42">
        <w:t xml:space="preserve"> Refrigeração e conservação; </w:t>
      </w:r>
    </w:p>
    <w:p w14:paraId="4A22E911" w14:textId="77777777" w:rsidR="007168D0" w:rsidRDefault="007168D0" w:rsidP="007168D0">
      <w:pPr>
        <w:numPr>
          <w:ilvl w:val="0"/>
          <w:numId w:val="1"/>
        </w:numPr>
      </w:pPr>
      <w:r w:rsidRPr="00FE6D42">
        <w:lastRenderedPageBreak/>
        <w:t xml:space="preserve"> Coifa/exaustão (quando aplicável);</w:t>
      </w:r>
    </w:p>
    <w:p w14:paraId="3853FBE1" w14:textId="77777777" w:rsidR="007168D0" w:rsidRDefault="007168D0" w:rsidP="007168D0">
      <w:pPr>
        <w:numPr>
          <w:ilvl w:val="0"/>
          <w:numId w:val="1"/>
        </w:numPr>
      </w:pPr>
      <w:r w:rsidRPr="00FE6D42">
        <w:t xml:space="preserve"> Lixeiras com tampa e coleta seletiva;</w:t>
      </w:r>
    </w:p>
    <w:p w14:paraId="08F2C441" w14:textId="77777777" w:rsidR="007168D0" w:rsidRDefault="007168D0" w:rsidP="007168D0">
      <w:pPr>
        <w:numPr>
          <w:ilvl w:val="0"/>
          <w:numId w:val="1"/>
        </w:numPr>
      </w:pPr>
      <w:r w:rsidRPr="00FE6D42">
        <w:t xml:space="preserve"> Álcool 70% disponível;</w:t>
      </w:r>
    </w:p>
    <w:p w14:paraId="645F9919" w14:textId="77777777" w:rsidR="007168D0" w:rsidRDefault="007168D0" w:rsidP="007168D0">
      <w:pPr>
        <w:numPr>
          <w:ilvl w:val="0"/>
          <w:numId w:val="1"/>
        </w:numPr>
      </w:pPr>
      <w:r w:rsidRPr="00FE6D42">
        <w:t xml:space="preserve"> Documentos sanitários válidos; </w:t>
      </w:r>
    </w:p>
    <w:p w14:paraId="428149B8" w14:textId="77777777" w:rsidR="007168D0" w:rsidRPr="00FE6D42" w:rsidRDefault="007168D0" w:rsidP="007168D0">
      <w:pPr>
        <w:numPr>
          <w:ilvl w:val="0"/>
          <w:numId w:val="1"/>
        </w:numPr>
      </w:pPr>
      <w:r w:rsidRPr="00FE6D42">
        <w:t xml:space="preserve"> Armazenamento e rotulagem de molhos artesanais (data/validade).</w:t>
      </w:r>
    </w:p>
    <w:p w14:paraId="74F5F86C" w14:textId="77777777" w:rsidR="007168D0" w:rsidRPr="00FE6D42" w:rsidRDefault="007168D0" w:rsidP="007168D0">
      <w:pPr>
        <w:rPr>
          <w:b/>
          <w:bCs/>
        </w:rPr>
      </w:pPr>
      <w:r w:rsidRPr="00FE6D42">
        <w:rPr>
          <w:b/>
          <w:bCs/>
        </w:rPr>
        <w:t>ANEXO II — Checklist de segurança e trânsito (exemplo)</w:t>
      </w:r>
    </w:p>
    <w:p w14:paraId="1B484C9C" w14:textId="77777777" w:rsidR="007168D0" w:rsidRDefault="007168D0" w:rsidP="007168D0">
      <w:pPr>
        <w:numPr>
          <w:ilvl w:val="0"/>
          <w:numId w:val="2"/>
        </w:numPr>
      </w:pPr>
      <w:r w:rsidRPr="00FE6D42">
        <w:t xml:space="preserve">Extintor em validade; </w:t>
      </w:r>
    </w:p>
    <w:p w14:paraId="3FAFBC70" w14:textId="77777777" w:rsidR="007168D0" w:rsidRDefault="007168D0" w:rsidP="007168D0">
      <w:pPr>
        <w:numPr>
          <w:ilvl w:val="0"/>
          <w:numId w:val="2"/>
        </w:numPr>
      </w:pPr>
      <w:r w:rsidRPr="00FE6D42">
        <w:t xml:space="preserve"> Fiação protegida; </w:t>
      </w:r>
    </w:p>
    <w:p w14:paraId="53DCDE44" w14:textId="77777777" w:rsidR="007168D0" w:rsidRDefault="007168D0" w:rsidP="007168D0">
      <w:pPr>
        <w:numPr>
          <w:ilvl w:val="0"/>
          <w:numId w:val="2"/>
        </w:numPr>
      </w:pPr>
      <w:r w:rsidRPr="00FE6D42">
        <w:t xml:space="preserve"> Aterramento; </w:t>
      </w:r>
    </w:p>
    <w:p w14:paraId="5B47BEC7" w14:textId="77777777" w:rsidR="007168D0" w:rsidRDefault="007168D0" w:rsidP="007168D0">
      <w:pPr>
        <w:numPr>
          <w:ilvl w:val="0"/>
          <w:numId w:val="2"/>
        </w:numPr>
      </w:pPr>
      <w:r w:rsidRPr="00FE6D42">
        <w:t xml:space="preserve"> Cabos não atravessando via/calçada acima do limite; </w:t>
      </w:r>
    </w:p>
    <w:p w14:paraId="6A6EBD98" w14:textId="77777777" w:rsidR="007168D0" w:rsidRDefault="007168D0" w:rsidP="007168D0">
      <w:pPr>
        <w:numPr>
          <w:ilvl w:val="0"/>
          <w:numId w:val="2"/>
        </w:numPr>
      </w:pPr>
      <w:r w:rsidRPr="00FE6D42">
        <w:t xml:space="preserve"> Sinalização do ponto;</w:t>
      </w:r>
    </w:p>
    <w:p w14:paraId="356C603D" w14:textId="77777777" w:rsidR="007168D0" w:rsidRDefault="007168D0" w:rsidP="007168D0">
      <w:pPr>
        <w:numPr>
          <w:ilvl w:val="0"/>
          <w:numId w:val="2"/>
        </w:numPr>
      </w:pPr>
      <w:r w:rsidRPr="00FE6D42">
        <w:t xml:space="preserve"> Estacionamento regular; </w:t>
      </w:r>
    </w:p>
    <w:p w14:paraId="19B4CCD8" w14:textId="77777777" w:rsidR="007168D0" w:rsidRDefault="007168D0" w:rsidP="007168D0">
      <w:pPr>
        <w:numPr>
          <w:ilvl w:val="0"/>
          <w:numId w:val="2"/>
        </w:numPr>
      </w:pPr>
      <w:r w:rsidRPr="00FE6D42">
        <w:t xml:space="preserve"> Desengate do reboque;</w:t>
      </w:r>
    </w:p>
    <w:p w14:paraId="4823354A" w14:textId="77777777" w:rsidR="007168D0" w:rsidRDefault="007168D0" w:rsidP="007168D0">
      <w:pPr>
        <w:numPr>
          <w:ilvl w:val="0"/>
          <w:numId w:val="2"/>
        </w:numPr>
      </w:pPr>
      <w:r w:rsidRPr="00FE6D42">
        <w:t xml:space="preserve"> Licenciamento e alterações veiculares regularizados.</w:t>
      </w:r>
    </w:p>
    <w:p w14:paraId="09C021EA" w14:textId="77777777" w:rsidR="007168D0" w:rsidRPr="00FE6D42" w:rsidRDefault="007168D0" w:rsidP="007168D0">
      <w:pPr>
        <w:rPr>
          <w:b/>
          <w:bCs/>
        </w:rPr>
      </w:pPr>
      <w:r w:rsidRPr="00FE6D42">
        <w:rPr>
          <w:b/>
          <w:bCs/>
        </w:rPr>
        <w:t>ANEXO III — Tabela sugerida de gradação de multas (</w:t>
      </w:r>
      <w:proofErr w:type="spellStart"/>
      <w:r w:rsidRPr="00FE6D42">
        <w:rPr>
          <w:b/>
          <w:bCs/>
        </w:rPr>
        <w:t>VRs</w:t>
      </w:r>
      <w:proofErr w:type="spellEnd"/>
      <w:r w:rsidRPr="00FE6D42">
        <w:rPr>
          <w:b/>
          <w:bCs/>
        </w:rPr>
        <w:t>)</w:t>
      </w:r>
    </w:p>
    <w:p w14:paraId="2AE1D32B" w14:textId="77777777" w:rsidR="007168D0" w:rsidRPr="00FE6D42" w:rsidRDefault="007168D0" w:rsidP="007168D0">
      <w:pPr>
        <w:numPr>
          <w:ilvl w:val="0"/>
          <w:numId w:val="3"/>
        </w:numPr>
      </w:pPr>
      <w:r w:rsidRPr="00FE6D42">
        <w:t xml:space="preserve">Infrações leves (ex.: art. 14, I e II): </w:t>
      </w:r>
      <w:r w:rsidRPr="00FE6D42">
        <w:rPr>
          <w:b/>
          <w:bCs/>
        </w:rPr>
        <w:t xml:space="preserve">10 a 40 </w:t>
      </w:r>
      <w:proofErr w:type="spellStart"/>
      <w:r w:rsidRPr="00FE6D42">
        <w:rPr>
          <w:b/>
          <w:bCs/>
        </w:rPr>
        <w:t>VRs</w:t>
      </w:r>
      <w:proofErr w:type="spellEnd"/>
      <w:r w:rsidRPr="00FE6D42">
        <w:t>;</w:t>
      </w:r>
    </w:p>
    <w:p w14:paraId="346EE533" w14:textId="77777777" w:rsidR="007168D0" w:rsidRPr="00FE6D42" w:rsidRDefault="007168D0" w:rsidP="007168D0">
      <w:pPr>
        <w:numPr>
          <w:ilvl w:val="0"/>
          <w:numId w:val="3"/>
        </w:numPr>
      </w:pPr>
      <w:r w:rsidRPr="00FE6D42">
        <w:t xml:space="preserve">Infrações médias (ex.: art. 15, II, III, IV, XI, XII): </w:t>
      </w:r>
      <w:r w:rsidRPr="00FE6D42">
        <w:rPr>
          <w:b/>
          <w:bCs/>
        </w:rPr>
        <w:t xml:space="preserve">41 a 120 </w:t>
      </w:r>
      <w:proofErr w:type="spellStart"/>
      <w:r w:rsidRPr="00FE6D42">
        <w:rPr>
          <w:b/>
          <w:bCs/>
        </w:rPr>
        <w:t>VRs</w:t>
      </w:r>
      <w:proofErr w:type="spellEnd"/>
      <w:r w:rsidRPr="00FE6D42">
        <w:t>;</w:t>
      </w:r>
    </w:p>
    <w:p w14:paraId="1D5BA16F" w14:textId="77777777" w:rsidR="007168D0" w:rsidRPr="00FE6D42" w:rsidRDefault="007168D0" w:rsidP="007168D0">
      <w:pPr>
        <w:numPr>
          <w:ilvl w:val="0"/>
          <w:numId w:val="3"/>
        </w:numPr>
      </w:pPr>
      <w:r w:rsidRPr="00FE6D42">
        <w:t xml:space="preserve">Infrações graves (ex.: art. 15, VII, XIII, XIV): </w:t>
      </w:r>
      <w:r w:rsidRPr="00FE6D42">
        <w:rPr>
          <w:b/>
          <w:bCs/>
        </w:rPr>
        <w:t xml:space="preserve">121 a 200 </w:t>
      </w:r>
      <w:proofErr w:type="spellStart"/>
      <w:r w:rsidRPr="00FE6D42">
        <w:rPr>
          <w:b/>
          <w:bCs/>
        </w:rPr>
        <w:t>VRs</w:t>
      </w:r>
      <w:proofErr w:type="spellEnd"/>
      <w:r w:rsidRPr="00FE6D42">
        <w:t>;</w:t>
      </w:r>
    </w:p>
    <w:p w14:paraId="5F4CD2E0" w14:textId="77777777" w:rsidR="007168D0" w:rsidRPr="00FE6D42" w:rsidRDefault="007168D0" w:rsidP="007168D0">
      <w:pPr>
        <w:numPr>
          <w:ilvl w:val="0"/>
          <w:numId w:val="3"/>
        </w:numPr>
      </w:pPr>
      <w:r w:rsidRPr="00FE6D42">
        <w:t xml:space="preserve">Reincidência específica: </w:t>
      </w:r>
      <w:r w:rsidRPr="00FE6D42">
        <w:rPr>
          <w:b/>
          <w:bCs/>
        </w:rPr>
        <w:t>majoração de 50%</w:t>
      </w:r>
      <w:r w:rsidRPr="00FE6D42">
        <w:t xml:space="preserve">; reincidência genérica: </w:t>
      </w:r>
      <w:r w:rsidRPr="00FE6D42">
        <w:rPr>
          <w:b/>
          <w:bCs/>
        </w:rPr>
        <w:t>majoração de 25%</w:t>
      </w:r>
      <w:r w:rsidRPr="00FE6D42">
        <w:t>.</w:t>
      </w:r>
    </w:p>
    <w:p w14:paraId="2142B404" w14:textId="77777777" w:rsidR="007168D0" w:rsidRPr="00FE6D42" w:rsidRDefault="007168D0" w:rsidP="007168D0">
      <w:pPr>
        <w:rPr>
          <w:b/>
          <w:bCs/>
        </w:rPr>
      </w:pPr>
      <w:r w:rsidRPr="00FE6D42">
        <w:rPr>
          <w:b/>
          <w:bCs/>
        </w:rPr>
        <w:t>QUADRO-RESUMO DAS PRINCIPAIS REGRAS (para divulgação)</w:t>
      </w:r>
    </w:p>
    <w:p w14:paraId="1700D2B9" w14:textId="77777777" w:rsidR="007168D0" w:rsidRPr="00FE6D42" w:rsidRDefault="007168D0" w:rsidP="007168D0">
      <w:pPr>
        <w:numPr>
          <w:ilvl w:val="0"/>
          <w:numId w:val="4"/>
        </w:numPr>
      </w:pPr>
      <w:r w:rsidRPr="00FE6D42">
        <w:rPr>
          <w:b/>
          <w:bCs/>
        </w:rPr>
        <w:t>Quem pode atuar:</w:t>
      </w:r>
      <w:r w:rsidRPr="00FE6D42">
        <w:t xml:space="preserve"> pessoa jurídica/MEI com Permissão de Uso + licença sanitária.</w:t>
      </w:r>
    </w:p>
    <w:p w14:paraId="15A0D1CF" w14:textId="77777777" w:rsidR="007168D0" w:rsidRPr="00FE6D42" w:rsidRDefault="007168D0" w:rsidP="007168D0">
      <w:pPr>
        <w:numPr>
          <w:ilvl w:val="0"/>
          <w:numId w:val="4"/>
        </w:numPr>
      </w:pPr>
      <w:r w:rsidRPr="00FE6D42">
        <w:rPr>
          <w:b/>
          <w:bCs/>
        </w:rPr>
        <w:t>Distância mínima:</w:t>
      </w:r>
      <w:r w:rsidRPr="00FE6D42">
        <w:t xml:space="preserve"> 100 m de outro food </w:t>
      </w:r>
      <w:proofErr w:type="spellStart"/>
      <w:r w:rsidRPr="00FE6D42">
        <w:t>truck</w:t>
      </w:r>
      <w:proofErr w:type="spellEnd"/>
      <w:r w:rsidRPr="00FE6D42">
        <w:t xml:space="preserve"> do mesmo ramo e de estabelecimentos afins (salvo eventos autorizados).</w:t>
      </w:r>
    </w:p>
    <w:p w14:paraId="559DBA6E" w14:textId="77777777" w:rsidR="007168D0" w:rsidRPr="00FE6D42" w:rsidRDefault="007168D0" w:rsidP="007168D0">
      <w:pPr>
        <w:numPr>
          <w:ilvl w:val="0"/>
          <w:numId w:val="4"/>
        </w:numPr>
      </w:pPr>
      <w:r w:rsidRPr="00FE6D42">
        <w:rPr>
          <w:b/>
          <w:bCs/>
        </w:rPr>
        <w:lastRenderedPageBreak/>
        <w:t>Obrigatório:</w:t>
      </w:r>
      <w:r w:rsidRPr="00FE6D42">
        <w:t xml:space="preserve"> água potável, pia, refrigeração, coleta de efluentes, lixeiras com tampa, álcool 70%, coifa/exaustão (quando aplicável).</w:t>
      </w:r>
    </w:p>
    <w:p w14:paraId="1F05EBB3" w14:textId="77777777" w:rsidR="007168D0" w:rsidRPr="00FE6D42" w:rsidRDefault="007168D0" w:rsidP="007168D0">
      <w:pPr>
        <w:numPr>
          <w:ilvl w:val="0"/>
          <w:numId w:val="4"/>
        </w:numPr>
      </w:pPr>
      <w:r w:rsidRPr="00FE6D42">
        <w:rPr>
          <w:b/>
          <w:bCs/>
        </w:rPr>
        <w:t>Proibido:</w:t>
      </w:r>
      <w:r w:rsidRPr="00FE6D42">
        <w:t xml:space="preserve"> som alto, perfurar calçada, ampliar área com tapumes/toldos/carpete, lançar resíduos/efluentes em via/redes.</w:t>
      </w:r>
    </w:p>
    <w:p w14:paraId="412FEE6B" w14:textId="77777777" w:rsidR="007168D0" w:rsidRPr="00FE6D42" w:rsidRDefault="007168D0" w:rsidP="007168D0">
      <w:pPr>
        <w:numPr>
          <w:ilvl w:val="0"/>
          <w:numId w:val="4"/>
        </w:numPr>
      </w:pPr>
      <w:r w:rsidRPr="00FE6D42">
        <w:rPr>
          <w:b/>
          <w:bCs/>
        </w:rPr>
        <w:t>Sanções:</w:t>
      </w:r>
      <w:r w:rsidRPr="00FE6D42">
        <w:t xml:space="preserve"> advertência, multa (até 200 </w:t>
      </w:r>
      <w:proofErr w:type="spellStart"/>
      <w:r w:rsidRPr="00FE6D42">
        <w:t>VRs</w:t>
      </w:r>
      <w:proofErr w:type="spellEnd"/>
      <w:r w:rsidRPr="00FE6D42">
        <w:t>), suspensão, apreensão, cassação.</w:t>
      </w:r>
    </w:p>
    <w:p w14:paraId="66DA6825" w14:textId="77777777" w:rsidR="007168D0" w:rsidRDefault="007168D0" w:rsidP="007168D0">
      <w:pPr>
        <w:numPr>
          <w:ilvl w:val="0"/>
          <w:numId w:val="4"/>
        </w:numPr>
      </w:pPr>
      <w:r w:rsidRPr="00FE6D42">
        <w:rPr>
          <w:b/>
          <w:bCs/>
        </w:rPr>
        <w:t>Prazos:</w:t>
      </w:r>
      <w:r w:rsidRPr="00FE6D42">
        <w:t xml:space="preserve"> adequação em 180 dias; regulamentação por Decreto em 90 dias.</w:t>
      </w:r>
    </w:p>
    <w:p w14:paraId="794E06B7" w14:textId="77777777" w:rsidR="007168D0" w:rsidRDefault="007168D0"/>
    <w:sectPr w:rsidR="007168D0" w:rsidSect="007168D0">
      <w:pgSz w:w="11906" w:h="16838"/>
      <w:pgMar w:top="3261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4572B2"/>
    <w:multiLevelType w:val="multilevel"/>
    <w:tmpl w:val="C46864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7F21FA"/>
    <w:multiLevelType w:val="multilevel"/>
    <w:tmpl w:val="5450D8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5A3D1071"/>
    <w:multiLevelType w:val="multilevel"/>
    <w:tmpl w:val="F97EF4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BB2160D"/>
    <w:multiLevelType w:val="multilevel"/>
    <w:tmpl w:val="5FBC07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20661717">
    <w:abstractNumId w:val="2"/>
  </w:num>
  <w:num w:numId="2" w16cid:durableId="645011736">
    <w:abstractNumId w:val="1"/>
  </w:num>
  <w:num w:numId="3" w16cid:durableId="1764645331">
    <w:abstractNumId w:val="3"/>
  </w:num>
  <w:num w:numId="4" w16cid:durableId="19201416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8D0"/>
    <w:rsid w:val="007168D0"/>
    <w:rsid w:val="00C01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83819F"/>
  <w15:chartTrackingRefBased/>
  <w15:docId w15:val="{336C65F4-FD99-4C44-940C-3B39DB9CA3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68D0"/>
  </w:style>
  <w:style w:type="paragraph" w:styleId="Ttulo1">
    <w:name w:val="heading 1"/>
    <w:basedOn w:val="Normal"/>
    <w:next w:val="Normal"/>
    <w:link w:val="Ttulo1Char"/>
    <w:uiPriority w:val="9"/>
    <w:qFormat/>
    <w:rsid w:val="007168D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7168D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7168D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7168D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7168D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7168D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7168D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7168D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7168D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7168D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7168D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7168D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7168D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7168D0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7168D0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7168D0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7168D0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7168D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7168D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7168D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7168D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7168D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7168D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7168D0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7168D0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7168D0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7168D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7168D0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7168D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441</Words>
  <Characters>2387</Characters>
  <Application>Microsoft Office Word</Application>
  <DocSecurity>0</DocSecurity>
  <Lines>19</Lines>
  <Paragraphs>5</Paragraphs>
  <ScaleCrop>false</ScaleCrop>
  <Company/>
  <LinksUpToDate>false</LinksUpToDate>
  <CharactersWithSpaces>2823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Bandeira Welter</dc:creator>
  <cp:keywords/>
  <dc:description/>
  <cp:lastModifiedBy>Andrea Bandeira Welter</cp:lastModifiedBy>
  <cp:revision>1</cp:revision>
  <dcterms:created xsi:type="dcterms:W3CDTF">2025-09-30T11:35:00Z</dcterms:created>
  <dcterms:modified xsi:type="dcterms:W3CDTF">2025-09-30T11:45:00Z</dcterms:modified>
</cp:coreProperties>
</file>